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-567" w:right="-568" w:firstLine="0"/>
        <w:jc w:val="center"/>
        <w:rPr>
          <w:rFonts w:ascii="EB Garamond" w:cs="EB Garamond" w:eastAsia="EB Garamond" w:hAnsi="EB Garamond"/>
          <w:b w:val="1"/>
          <w:color w:val="3c78d8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3c78d8"/>
          <w:sz w:val="28"/>
          <w:szCs w:val="28"/>
          <w:rtl w:val="0"/>
        </w:rPr>
        <w:t xml:space="preserve">POLÍTICA DE PORTABILIDADE DE DADOS PESSOAIS</w:t>
      </w:r>
    </w:p>
    <w:p w:rsidR="00000000" w:rsidDel="00000000" w:rsidP="00000000" w:rsidRDefault="00000000" w:rsidRPr="00000000" w14:paraId="00000004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color w:val="3c78d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spacing w:line="360" w:lineRule="auto"/>
        <w:ind w:left="720" w:right="-568" w:hanging="360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EMPRESA: SUPERA CONSULTORIA ADMINISTRADORA E CORRETORA DE SEGUROS LTDA- ME,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com CNPJ da Matriz sob o no 15.345.082/0001-83, com sede na Rua Ananias Azevedo, número 184, Loja 33, frente Rua Alvar, Bairro Treze de Julho, Aracaju/SE, CEP 49.020-085; com filial com CNPJ sob o no 15. 345. 082/0002-64, com filial na Avenida Doutor Pedro Garcia Moreno, número 660, Loja 01, Bairro Rotary Club de Itabaiana, Itabaiana/SE, CEP 49.506-153, com e-mail samuel@superaseguros.com.br; representadas por SAMUEL DE JESUS ANDRADE, com CPF sob o no 077.130.455-20, com RG sob o no 294.778 SSP/SE; e LUIZ HENRIQUE CUNHA ANDRADE, com CPF sob o no 001.500.745-65, com RG sob o no 3.009.079-2 SSP/SE.</w:t>
      </w:r>
    </w:p>
    <w:p w:rsidR="00000000" w:rsidDel="00000000" w:rsidP="00000000" w:rsidRDefault="00000000" w:rsidRPr="00000000" w14:paraId="00000006">
      <w:pPr>
        <w:spacing w:line="360" w:lineRule="auto"/>
        <w:ind w:left="720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line="360" w:lineRule="auto"/>
        <w:ind w:left="720" w:right="-568" w:hanging="360"/>
        <w:jc w:val="both"/>
        <w:rPr>
          <w:rFonts w:ascii="EB Garamond" w:cs="EB Garamond" w:eastAsia="EB Garamond" w:hAnsi="EB Garamond"/>
          <w:b w:val="1"/>
          <w:sz w:val="24"/>
          <w:szCs w:val="24"/>
          <w:shd w:fill="b7b7b7" w:val="clear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shd w:fill="b7b7b7" w:val="clear"/>
          <w:rtl w:val="0"/>
        </w:rPr>
        <w:t xml:space="preserve">FINALIDADE E ÂMBITO DE APLICAÇÃO:</w:t>
      </w:r>
    </w:p>
    <w:p w:rsidR="00000000" w:rsidDel="00000000" w:rsidP="00000000" w:rsidRDefault="00000000" w:rsidRPr="00000000" w14:paraId="00000008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-567" w:right="-568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 portabilidade dos dados pessoais é um direito garantido pela Lei Geral de Proteção de Dados (LGPD), Lei nº 13.709/18, especificamente no artigo 18, inciso V. Esse direito permite ao titular dos dados pessoais solicitar ao CONTROLADOR (a empresa ou entidade que coleta e gerencia esses dados) a transferência de suas informações para outra empresa ou pessoa física que atue com fins comerciais.</w:t>
      </w:r>
    </w:p>
    <w:p w:rsidR="00000000" w:rsidDel="00000000" w:rsidP="00000000" w:rsidRDefault="00000000" w:rsidRPr="00000000" w14:paraId="0000000A">
      <w:pPr>
        <w:spacing w:line="360" w:lineRule="auto"/>
        <w:ind w:left="-567" w:right="-568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De acordo com o dispositivo mencionado, o titular dos dados tem o direito de receber suas informações pessoais em um formato estruturado e de uso comum, e pode solicitar que essas informações sejam transferidas para outra organização, facilitando a mudança de prestador de serviços ou a continuidade do tratamento dos dados em novas plataformas. A portabilidade visa oferecer mais controle e liberdade ao indivíduo sobre seus próprios dados, promovendo maior transparência e autonomia na gestão das informações pessoais.</w:t>
      </w:r>
    </w:p>
    <w:p w:rsidR="00000000" w:rsidDel="00000000" w:rsidP="00000000" w:rsidRDefault="00000000" w:rsidRPr="00000000" w14:paraId="0000000B">
      <w:pPr>
        <w:spacing w:line="360" w:lineRule="auto"/>
        <w:ind w:left="-567" w:right="-568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-567" w:right="-568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-567" w:right="-568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Para garantir a conformidade com essa legislação, assim como assegurar a praticidade e a segurança no processo, a SUPERA SEGUROS desenvolveu uma Política de Portabilidade de Dados Pessoais. Esta política tem como objetivo detalhar os procedimentos para a realização da portabilidade dos dados, assegurando que o processo seja realizado de forma segura e eficiente. A política também visa respeitar o direito do indivíduo de tomar decisões informadas sobre suas informações pessoais, promovendo um ambiente de proteção de dados que esteja em alinhamento com a legislação vigente.</w:t>
      </w:r>
    </w:p>
    <w:p w:rsidR="00000000" w:rsidDel="00000000" w:rsidP="00000000" w:rsidRDefault="00000000" w:rsidRPr="00000000" w14:paraId="0000000E">
      <w:pPr>
        <w:spacing w:line="360" w:lineRule="auto"/>
        <w:ind w:left="-567" w:right="-568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line="360" w:lineRule="auto"/>
        <w:ind w:left="720" w:right="-568" w:hanging="360"/>
        <w:jc w:val="both"/>
        <w:rPr>
          <w:rFonts w:ascii="EB Garamond" w:cs="EB Garamond" w:eastAsia="EB Garamond" w:hAnsi="EB Garamond"/>
          <w:b w:val="1"/>
          <w:sz w:val="24"/>
          <w:szCs w:val="24"/>
          <w:shd w:fill="b7b7b7" w:val="clear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shd w:fill="b7b7b7" w:val="clear"/>
          <w:rtl w:val="0"/>
        </w:rPr>
        <w:t xml:space="preserve">REGRAS DE PORTABILIDADE DE DADOS PESSOAIS, FORMAS E PRAZO:</w:t>
      </w:r>
    </w:p>
    <w:p w:rsidR="00000000" w:rsidDel="00000000" w:rsidP="00000000" w:rsidRDefault="00000000" w:rsidRPr="00000000" w14:paraId="00000010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-567" w:right="-568" w:firstLine="567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Caso o cliente deseje solicitar ao CONTROLADOR a portabilidade de seus dados pessoais, para outra pessoa jurídica ou física que atue no mesmo ramo - de seguros, financiamentos e consórcios  - será necessário seguir o passo a passo:</w:t>
      </w:r>
    </w:p>
    <w:p w:rsidR="00000000" w:rsidDel="00000000" w:rsidP="00000000" w:rsidRDefault="00000000" w:rsidRPr="00000000" w14:paraId="00000012">
      <w:pPr>
        <w:spacing w:line="360" w:lineRule="auto"/>
        <w:ind w:left="-567" w:right="-568" w:firstLine="567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a) Entrar em contato com a empresa através do seguinte e-mail: canaldetitulareslgpdsupera@gmail.com , solicitando a devida portabilidade;</w:t>
      </w:r>
    </w:p>
    <w:p w:rsidR="00000000" w:rsidDel="00000000" w:rsidP="00000000" w:rsidRDefault="00000000" w:rsidRPr="00000000" w14:paraId="00000014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b) Na mensagem, é necessário descrever o no do CPF, nome e endereço residencial, para confirmação dos dados; ou  CNPJ da pessoa jurídica, juntamente com seus e-mails e contatos telefônicos, da qual, é destinatária dos dados;</w:t>
      </w:r>
    </w:p>
    <w:p w:rsidR="00000000" w:rsidDel="00000000" w:rsidP="00000000" w:rsidRDefault="00000000" w:rsidRPr="00000000" w14:paraId="00000015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c) Ao receber a mensagem, a colaboradora da empresa acusará o seu recebimento;</w:t>
      </w:r>
    </w:p>
    <w:p w:rsidR="00000000" w:rsidDel="00000000" w:rsidP="00000000" w:rsidRDefault="00000000" w:rsidRPr="00000000" w14:paraId="00000016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d) Contando do dia da confirmação do envio da solicitação, a  CONTROLADORA terá o prazo de 2  dias úteis para enviar um e-mail com todos os dados disponíveis em seu usuário do SEGFY.</w:t>
      </w:r>
    </w:p>
    <w:p w:rsidR="00000000" w:rsidDel="00000000" w:rsidP="00000000" w:rsidRDefault="00000000" w:rsidRPr="00000000" w14:paraId="00000017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360" w:lineRule="auto"/>
        <w:ind w:left="720" w:right="-568" w:hanging="360"/>
        <w:jc w:val="both"/>
        <w:rPr>
          <w:rFonts w:ascii="EB Garamond" w:cs="EB Garamond" w:eastAsia="EB Garamond" w:hAnsi="EB Garamond"/>
          <w:b w:val="1"/>
          <w:sz w:val="24"/>
          <w:szCs w:val="24"/>
          <w:shd w:fill="b7b7b7" w:val="clear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shd w:fill="b7b7b7" w:val="clear"/>
          <w:rtl w:val="0"/>
        </w:rPr>
        <w:t xml:space="preserve">IMPOSSIBILIDADE DE PORTABILIDADE:</w:t>
      </w:r>
    </w:p>
    <w:p w:rsidR="00000000" w:rsidDel="00000000" w:rsidP="00000000" w:rsidRDefault="00000000" w:rsidRPr="00000000" w14:paraId="00000019">
      <w:pPr>
        <w:spacing w:line="360" w:lineRule="auto"/>
        <w:ind w:left="720" w:right="-568" w:firstLine="0"/>
        <w:jc w:val="both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-567" w:right="-568" w:firstLine="567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Como dispõe a Lei no 13.709/18, não serão objetos de portabilidade as informações anonimizadas, bem como, segredos de negócios ou industriais.</w:t>
      </w:r>
    </w:p>
    <w:p w:rsidR="00000000" w:rsidDel="00000000" w:rsidP="00000000" w:rsidRDefault="00000000" w:rsidRPr="00000000" w14:paraId="0000001B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360" w:lineRule="auto"/>
        <w:ind w:left="720" w:right="-568" w:hanging="360"/>
        <w:jc w:val="both"/>
        <w:rPr>
          <w:rFonts w:ascii="EB Garamond" w:cs="EB Garamond" w:eastAsia="EB Garamond" w:hAnsi="EB Garamond"/>
          <w:b w:val="1"/>
          <w:sz w:val="24"/>
          <w:szCs w:val="24"/>
          <w:shd w:fill="cccccc" w:val="clear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shd w:fill="cccccc" w:val="clear"/>
          <w:rtl w:val="0"/>
        </w:rPr>
        <w:t xml:space="preserve">RESPONSABILIDADE EM CASO DE VIOLAÇÃO DA POLÍTICA:</w:t>
      </w:r>
    </w:p>
    <w:p w:rsidR="00000000" w:rsidDel="00000000" w:rsidP="00000000" w:rsidRDefault="00000000" w:rsidRPr="00000000" w14:paraId="0000001D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 responsabilidade do CONTROLADOR é de transferir os dados pessoais a partir da solicitação expressa através da mensagem através do e-mail, caso o cliente esteja adimplente com suas obrigações</w:t>
      </w:r>
    </w:p>
    <w:p w:rsidR="00000000" w:rsidDel="00000000" w:rsidP="00000000" w:rsidRDefault="00000000" w:rsidRPr="00000000" w14:paraId="0000001F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contratuais.</w:t>
      </w:r>
    </w:p>
    <w:p w:rsidR="00000000" w:rsidDel="00000000" w:rsidP="00000000" w:rsidRDefault="00000000" w:rsidRPr="00000000" w14:paraId="00000020">
      <w:pPr>
        <w:spacing w:line="360" w:lineRule="auto"/>
        <w:ind w:left="-567" w:right="-568" w:firstLine="567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A partir do momento que os respectivos dados pessoais forem encaminhados via sistema SEGFY para que o cliente possa fazer o download, o CONTROLADOR ficará isento de qualquer responsabilidade no que tange a proteção das informações perpassadas; posto que, o encaminhamento foi requisitado e devidamente autorizado pelo próprio titular de dados.</w:t>
      </w:r>
    </w:p>
    <w:p w:rsidR="00000000" w:rsidDel="00000000" w:rsidP="00000000" w:rsidRDefault="00000000" w:rsidRPr="00000000" w14:paraId="00000021">
      <w:pPr>
        <w:spacing w:line="360" w:lineRule="auto"/>
        <w:ind w:left="-567" w:right="-568" w:firstLine="0"/>
        <w:jc w:val="both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left="-567" w:right="-568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Este documento é válido a partir de 29 de agosto de 2024.</w:t>
      </w:r>
    </w:p>
    <w:p w:rsidR="00000000" w:rsidDel="00000000" w:rsidP="00000000" w:rsidRDefault="00000000" w:rsidRPr="00000000" w14:paraId="00000023">
      <w:pPr>
        <w:spacing w:line="360" w:lineRule="auto"/>
        <w:ind w:left="-567" w:right="-568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-567" w:right="-568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ind w:left="-567" w:right="-568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left="-567" w:right="-568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27">
      <w:pPr>
        <w:spacing w:line="360" w:lineRule="auto"/>
        <w:ind w:left="-567" w:right="-568" w:firstLine="0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SÓCIO ADMINISTRADOR- SUPERA SEGUROS</w:t>
      </w:r>
    </w:p>
    <w:p w:rsidR="00000000" w:rsidDel="00000000" w:rsidP="00000000" w:rsidRDefault="00000000" w:rsidRPr="00000000" w14:paraId="00000028">
      <w:pPr>
        <w:spacing w:line="360" w:lineRule="auto"/>
        <w:ind w:left="-567" w:right="-568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ind w:left="-567" w:right="-568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ind w:left="-567" w:right="-568" w:firstLine="0"/>
        <w:rPr>
          <w:rFonts w:ascii="Garamond" w:cs="Garamond" w:eastAsia="Garamond" w:hAnsi="Garamond"/>
          <w:b w:val="1"/>
          <w:color w:val="3c78d8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Cambria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595.35pt;height:842.1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595.35pt;height:842.1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595.35pt;height:842.1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360" w:lineRule="auto"/>
      <w:ind w:left="720" w:hanging="360"/>
      <w:jc w:val="center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0" w:line="360" w:lineRule="auto"/>
      <w:ind w:left="1440" w:hanging="360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80" w:before="78" w:line="240" w:lineRule="auto"/>
      <w:ind w:left="911"/>
    </w:pPr>
    <w:rPr>
      <w:rFonts w:ascii="Cambria" w:cs="Cambria" w:eastAsia="Cambria" w:hAnsi="Cambria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360" w:lineRule="auto"/>
      <w:ind w:left="720" w:hanging="360"/>
      <w:jc w:val="center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0" w:line="360" w:lineRule="auto"/>
      <w:ind w:left="1440" w:hanging="360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80" w:before="78" w:line="240" w:lineRule="auto"/>
      <w:ind w:left="911"/>
    </w:pPr>
    <w:rPr>
      <w:rFonts w:ascii="Cambria" w:cs="Cambria" w:eastAsia="Cambria" w:hAnsi="Cambria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360" w:lineRule="auto"/>
      <w:ind w:left="432" w:hanging="432"/>
      <w:jc w:val="center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0" w:line="360" w:lineRule="auto"/>
      <w:ind w:left="576" w:hanging="576"/>
      <w:jc w:val="center"/>
    </w:pPr>
    <w:rPr>
      <w:rFonts w:ascii="Times New Roman" w:cs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widowControl w:val="0"/>
      <w:spacing w:after="80" w:before="78" w:line="240" w:lineRule="auto"/>
      <w:ind w:left="911"/>
    </w:pPr>
    <w:rPr>
      <w:rFonts w:ascii="Cambria" w:cs="Cambria" w:eastAsia="Cambria" w:hAnsi="Cambria"/>
      <w:b w:val="1"/>
      <w:sz w:val="24"/>
      <w:szCs w:val="24"/>
    </w:rPr>
  </w:style>
  <w:style w:type="paragraph" w:styleId="Normal" w:default="1">
    <w:name w:val="Normal"/>
    <w:qFormat w:val="1"/>
    <w:rsid w:val="00274122"/>
  </w:style>
  <w:style w:type="paragraph" w:styleId="Ttulo1">
    <w:name w:val="heading 1"/>
    <w:basedOn w:val="Normal"/>
    <w:next w:val="Normal"/>
    <w:link w:val="Ttulo1Char"/>
    <w:qFormat w:val="1"/>
    <w:rsid w:val="00274122"/>
    <w:pPr>
      <w:keepNext w:val="1"/>
      <w:numPr>
        <w:numId w:val="1"/>
      </w:numPr>
      <w:suppressAutoHyphens w:val="1"/>
      <w:spacing w:after="0" w:line="360" w:lineRule="auto"/>
      <w:jc w:val="center"/>
      <w:outlineLvl w:val="0"/>
    </w:pPr>
    <w:rPr>
      <w:rFonts w:ascii="Times New Roman" w:cs="Times New Roman" w:eastAsia="Times New Roman" w:hAnsi="Times New Roman"/>
      <w:b w:val="1"/>
      <w:bCs w:val="1"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 w:val="1"/>
    <w:rsid w:val="00274122"/>
    <w:pPr>
      <w:keepNext w:val="1"/>
      <w:numPr>
        <w:ilvl w:val="1"/>
        <w:numId w:val="1"/>
      </w:numPr>
      <w:suppressAutoHyphens w:val="1"/>
      <w:spacing w:after="0" w:line="360" w:lineRule="auto"/>
      <w:jc w:val="center"/>
      <w:outlineLvl w:val="1"/>
    </w:pPr>
    <w:rPr>
      <w:rFonts w:ascii="Times New Roman" w:cs="Times New Roman" w:eastAsia="Times New Roman" w:hAnsi="Times New Roman"/>
      <w:sz w:val="24"/>
      <w:szCs w:val="20"/>
      <w:lang w:eastAsia="ar-SA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274122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74122"/>
    <w:rPr>
      <w:noProof w:val="1"/>
    </w:rPr>
  </w:style>
  <w:style w:type="paragraph" w:styleId="Rodap">
    <w:name w:val="footer"/>
    <w:basedOn w:val="Normal"/>
    <w:link w:val="RodapChar"/>
    <w:uiPriority w:val="99"/>
    <w:unhideWhenUsed w:val="1"/>
    <w:rsid w:val="0027412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74122"/>
    <w:rPr>
      <w:noProof w:val="1"/>
    </w:rPr>
  </w:style>
  <w:style w:type="character" w:styleId="Ttulo1Char" w:customStyle="1">
    <w:name w:val="Título 1 Char"/>
    <w:basedOn w:val="Fontepargpadro"/>
    <w:link w:val="Ttulo1"/>
    <w:rsid w:val="00274122"/>
    <w:rPr>
      <w:rFonts w:ascii="Times New Roman" w:cs="Times New Roman" w:eastAsia="Times New Roman" w:hAnsi="Times New Roman"/>
      <w:b w:val="1"/>
      <w:bCs w:val="1"/>
      <w:sz w:val="24"/>
      <w:szCs w:val="20"/>
      <w:lang w:eastAsia="ar-SA"/>
    </w:rPr>
  </w:style>
  <w:style w:type="character" w:styleId="Ttulo2Char" w:customStyle="1">
    <w:name w:val="Título 2 Char"/>
    <w:basedOn w:val="Fontepargpadro"/>
    <w:link w:val="Ttulo2"/>
    <w:rsid w:val="00274122"/>
    <w:rPr>
      <w:rFonts w:ascii="Times New Roman" w:cs="Times New Roman" w:eastAsia="Times New Roman" w:hAnsi="Times New Roman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 w:val="1"/>
    <w:rsid w:val="00274122"/>
    <w:pPr>
      <w:ind w:left="720"/>
      <w:contextualSpacing w:val="1"/>
    </w:pPr>
  </w:style>
  <w:style w:type="table" w:styleId="Tabelacomgrade">
    <w:name w:val="Table Grid"/>
    <w:basedOn w:val="Tabelanormal"/>
    <w:uiPriority w:val="59"/>
    <w:rsid w:val="0027412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rpodetexto">
    <w:name w:val="Body Text"/>
    <w:basedOn w:val="Normal"/>
    <w:link w:val="CorpodetextoChar"/>
    <w:rsid w:val="00274122"/>
    <w:pPr>
      <w:suppressAutoHyphens w:val="1"/>
      <w:spacing w:after="0" w:line="240" w:lineRule="auto"/>
      <w:jc w:val="both"/>
    </w:pPr>
    <w:rPr>
      <w:rFonts w:ascii="Times New Roman" w:cs="Times New Roman" w:eastAsia="Times New Roman" w:hAnsi="Times New Roman"/>
      <w:sz w:val="28"/>
      <w:szCs w:val="20"/>
      <w:lang w:eastAsia="ar-SA"/>
    </w:rPr>
  </w:style>
  <w:style w:type="character" w:styleId="CorpodetextoChar" w:customStyle="1">
    <w:name w:val="Corpo de texto Char"/>
    <w:basedOn w:val="Fontepargpadro"/>
    <w:link w:val="Corpodetexto"/>
    <w:rsid w:val="00274122"/>
    <w:rPr>
      <w:rFonts w:ascii="Times New Roman" w:cs="Times New Roman" w:eastAsia="Times New Roman" w:hAnsi="Times New Roman"/>
      <w:sz w:val="28"/>
      <w:szCs w:val="20"/>
      <w:lang w:eastAsia="ar-SA"/>
    </w:rPr>
  </w:style>
  <w:style w:type="paragraph" w:styleId="Ttulo">
    <w:name w:val="Title"/>
    <w:basedOn w:val="Normal"/>
    <w:link w:val="TtuloChar"/>
    <w:uiPriority w:val="1"/>
    <w:qFormat w:val="1"/>
    <w:rsid w:val="00274122"/>
    <w:pPr>
      <w:widowControl w:val="0"/>
      <w:autoSpaceDE w:val="0"/>
      <w:autoSpaceDN w:val="0"/>
      <w:spacing w:after="80" w:before="78" w:line="240" w:lineRule="auto"/>
      <w:ind w:left="911"/>
    </w:pPr>
    <w:rPr>
      <w:rFonts w:ascii="Cambria" w:cs="Cambria" w:eastAsia="Cambria" w:hAnsi="Cambria"/>
      <w:b w:val="1"/>
      <w:bCs w:val="1"/>
      <w:sz w:val="24"/>
      <w:szCs w:val="24"/>
      <w:lang w:val="pt-PT"/>
    </w:rPr>
  </w:style>
  <w:style w:type="character" w:styleId="TtuloChar" w:customStyle="1">
    <w:name w:val="Título Char"/>
    <w:basedOn w:val="Fontepargpadro"/>
    <w:link w:val="Ttulo"/>
    <w:uiPriority w:val="1"/>
    <w:rsid w:val="00274122"/>
    <w:rPr>
      <w:rFonts w:ascii="Cambria" w:cs="Cambria" w:eastAsia="Cambria" w:hAnsi="Cambria"/>
      <w:b w:val="1"/>
      <w:bCs w:val="1"/>
      <w:sz w:val="24"/>
      <w:szCs w:val="24"/>
      <w:lang w:val="pt-PT"/>
    </w:rPr>
  </w:style>
  <w:style w:type="table" w:styleId="TabeladeGrade4-nfase1">
    <w:name w:val="Grid Table 4 Accent 1"/>
    <w:basedOn w:val="Tabelanormal"/>
    <w:uiPriority w:val="49"/>
    <w:rsid w:val="00274122"/>
    <w:pPr>
      <w:spacing w:after="0" w:line="240" w:lineRule="auto"/>
    </w:pPr>
    <w:tblPr>
      <w:tblStyleRowBandSize w:val="1"/>
      <w:tblStyleColBandSize w:val="1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5b9bd5" w:space="0" w:sz="4" w:themeColor="accent1" w:val="single"/>
          <w:left w:color="5b9bd5" w:space="0" w:sz="4" w:themeColor="accent1" w:val="single"/>
          <w:bottom w:color="5b9bd5" w:space="0" w:sz="4" w:themeColor="accent1" w:val="single"/>
          <w:right w:color="5b9bd5" w:space="0" w:sz="4" w:themeColor="accent1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character" w:styleId="Refdecomentrio">
    <w:name w:val="annotation reference"/>
    <w:basedOn w:val="Fontepargpadro"/>
    <w:uiPriority w:val="99"/>
    <w:semiHidden w:val="1"/>
    <w:unhideWhenUsed w:val="1"/>
    <w:rsid w:val="00C367D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C367DE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C367D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C367DE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C367DE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eebf6" w:val="clear"/>
      </w:tcPr>
    </w:tblStylePr>
    <w:tblStylePr w:type="band1Vert">
      <w:tcPr>
        <w:shd w:fill="deebf6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000000" w:space="0" w:sz="0" w:val="nil"/>
          <w:insideV w:color="000000" w:space="0" w:sz="0" w:val="nil"/>
        </w:tcBorders>
        <w:shd w:fill="5b9bd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5b9bd5" w:space="0" w:sz="4" w:val="single"/>
        </w:tcBorders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QUfjTbrU6fXH1l2e8cQUdNx+sw==">CgMxLjA4AHIhMVVtX1E3dnFpYzRpNXRiVmx0U2Nac3RCeV9uTFU5RWl1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2024-07-31T00:20:00Z</dcterms:created>
  <dc:creator>Conta da Microsoft</dc:creator>
</cp:coreProperties>
</file>